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12A" w:rsidRDefault="00AD112A" w:rsidP="00F54C86">
      <w:pPr>
        <w:jc w:val="both"/>
        <w:rPr>
          <w:b/>
          <w:u w:val="single"/>
        </w:rPr>
      </w:pPr>
    </w:p>
    <w:p w:rsidR="00AD112A" w:rsidRPr="00AD112A" w:rsidRDefault="00AD112A" w:rsidP="00F54C86">
      <w:pPr>
        <w:jc w:val="both"/>
        <w:rPr>
          <w:b/>
          <w:u w:val="single"/>
        </w:rPr>
      </w:pPr>
    </w:p>
    <w:p w:rsidR="00CA6BF3" w:rsidRPr="00CA6BF3" w:rsidRDefault="00CA6BF3" w:rsidP="00CA6BF3">
      <w:pPr>
        <w:ind w:left="992" w:hanging="992"/>
        <w:jc w:val="both"/>
        <w:rPr>
          <w:rFonts w:eastAsia="Times New Roman"/>
          <w:sz w:val="22"/>
          <w:szCs w:val="22"/>
        </w:rPr>
      </w:pPr>
      <w:r w:rsidRPr="00CA6BF3">
        <w:rPr>
          <w:rFonts w:eastAsia="Times New Roman"/>
          <w:sz w:val="22"/>
          <w:szCs w:val="22"/>
        </w:rPr>
        <w:t xml:space="preserve">VISTO </w:t>
      </w:r>
      <w:r w:rsidRPr="00CA6BF3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CA6BF3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CA6BF3">
        <w:rPr>
          <w:rFonts w:eastAsia="Times New Roman"/>
          <w:sz w:val="22"/>
          <w:szCs w:val="22"/>
        </w:rPr>
        <w:t>”;</w:t>
      </w:r>
    </w:p>
    <w:p w:rsidR="00CA6BF3" w:rsidRPr="00CA6BF3" w:rsidRDefault="00CA6BF3" w:rsidP="00CA6BF3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CA6BF3">
        <w:rPr>
          <w:rFonts w:eastAsia="Times New Roman"/>
          <w:sz w:val="22"/>
          <w:szCs w:val="22"/>
        </w:rPr>
        <w:t xml:space="preserve">VISTO </w:t>
      </w:r>
      <w:r w:rsidRPr="00CA6BF3">
        <w:rPr>
          <w:rFonts w:eastAsia="Times New Roman"/>
          <w:sz w:val="22"/>
          <w:szCs w:val="22"/>
        </w:rPr>
        <w:tab/>
        <w:t>il Regolamento che disciplina l’organizzazione del Ministero dell’Istruzione, dell’Università e della Ricerca – D.P.C.M. 11 febbraio 2014, n. 98 – pubblicato sulla G.U. del 14 luglio 2014, serie generale n. 161;</w:t>
      </w:r>
    </w:p>
    <w:p w:rsidR="00CA6BF3" w:rsidRPr="00CA6BF3" w:rsidRDefault="00CA6BF3" w:rsidP="00CA6BF3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CA6BF3">
        <w:rPr>
          <w:rFonts w:eastAsia="Times New Roman"/>
          <w:sz w:val="22"/>
          <w:szCs w:val="22"/>
        </w:rPr>
        <w:t xml:space="preserve">VISTA </w:t>
      </w:r>
      <w:r w:rsidRPr="00CA6BF3">
        <w:rPr>
          <w:rFonts w:eastAsia="Times New Roman"/>
          <w:sz w:val="22"/>
          <w:szCs w:val="22"/>
        </w:rPr>
        <w:tab/>
        <w:t xml:space="preserve">la legge 31 dicembre 2009, n. 196 </w:t>
      </w:r>
      <w:r w:rsidRPr="00CA6BF3">
        <w:rPr>
          <w:rFonts w:eastAsia="Times New Roman"/>
          <w:i/>
          <w:sz w:val="22"/>
          <w:szCs w:val="22"/>
        </w:rPr>
        <w:t>“Legge di contabilità e finanza pubblica”;</w:t>
      </w:r>
    </w:p>
    <w:p w:rsidR="00CA6BF3" w:rsidRPr="00CA6BF3" w:rsidRDefault="00CA6BF3" w:rsidP="00CA6BF3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CA6BF3">
        <w:rPr>
          <w:rFonts w:eastAsia="Times New Roman"/>
          <w:sz w:val="22"/>
          <w:szCs w:val="22"/>
        </w:rPr>
        <w:t xml:space="preserve">VISTA </w:t>
      </w:r>
      <w:r w:rsidRPr="00CA6BF3">
        <w:rPr>
          <w:rFonts w:eastAsia="Times New Roman"/>
          <w:sz w:val="22"/>
          <w:szCs w:val="22"/>
        </w:rPr>
        <w:tab/>
        <w:t>la legge 4 agosto 2016, n. 163 “</w:t>
      </w:r>
      <w:r w:rsidRPr="00CA6BF3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CA6BF3">
        <w:rPr>
          <w:rFonts w:eastAsia="Times New Roman"/>
          <w:sz w:val="22"/>
          <w:szCs w:val="22"/>
        </w:rPr>
        <w:t>”;</w:t>
      </w:r>
    </w:p>
    <w:p w:rsidR="00CA6BF3" w:rsidRPr="00CA6BF3" w:rsidRDefault="00CA6BF3" w:rsidP="00CA6BF3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CA6BF3">
        <w:rPr>
          <w:rFonts w:eastAsia="Times New Roman"/>
          <w:sz w:val="22"/>
          <w:szCs w:val="22"/>
        </w:rPr>
        <w:t xml:space="preserve">VISTA </w:t>
      </w:r>
      <w:r w:rsidRPr="00CA6BF3">
        <w:rPr>
          <w:rFonts w:eastAsia="Times New Roman"/>
          <w:sz w:val="22"/>
          <w:szCs w:val="22"/>
        </w:rPr>
        <w:tab/>
        <w:t>la Legge n. 12 del 5 marzo 2020, che converte, con modificazioni, il D.L. 9 gennaio 2020, n.1, recante “</w:t>
      </w:r>
      <w:r w:rsidRPr="00CA6BF3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CA6BF3">
        <w:rPr>
          <w:rFonts w:eastAsia="Times New Roman"/>
          <w:sz w:val="22"/>
          <w:szCs w:val="22"/>
        </w:rPr>
        <w:t>”;</w:t>
      </w:r>
    </w:p>
    <w:p w:rsidR="00CA6BF3" w:rsidRPr="00CA6BF3" w:rsidRDefault="00CA6BF3" w:rsidP="00CA6BF3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CA6BF3">
        <w:rPr>
          <w:rFonts w:eastAsia="Times New Roman"/>
          <w:sz w:val="22"/>
          <w:szCs w:val="22"/>
        </w:rPr>
        <w:t>VISTO</w:t>
      </w:r>
      <w:r w:rsidRPr="00CA6BF3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CA6BF3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CA6BF3">
        <w:rPr>
          <w:rFonts w:eastAsia="Times New Roman"/>
          <w:sz w:val="22"/>
          <w:szCs w:val="22"/>
        </w:rPr>
        <w:t>”;</w:t>
      </w:r>
    </w:p>
    <w:p w:rsidR="00CA6BF3" w:rsidRPr="00CA6BF3" w:rsidRDefault="00CA6BF3" w:rsidP="00CA6BF3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CA6BF3">
        <w:rPr>
          <w:rFonts w:eastAsia="Times New Roman"/>
          <w:sz w:val="22"/>
          <w:szCs w:val="22"/>
        </w:rPr>
        <w:t xml:space="preserve">VISTA </w:t>
      </w:r>
      <w:r w:rsidRPr="00CA6BF3">
        <w:rPr>
          <w:rFonts w:eastAsia="Times New Roman"/>
          <w:sz w:val="22"/>
          <w:szCs w:val="22"/>
        </w:rPr>
        <w:tab/>
        <w:t>la Legge n. 160 del 27 dicembre 2019 “</w:t>
      </w:r>
      <w:r w:rsidRPr="00CA6BF3">
        <w:rPr>
          <w:rFonts w:eastAsia="Times New Roman"/>
          <w:i/>
          <w:sz w:val="22"/>
          <w:szCs w:val="22"/>
        </w:rPr>
        <w:t>Bilancio di previsione dello Stato per l’anno finanziario 2020 e bilancio pluriennale per il triennio 2020 – 2022</w:t>
      </w:r>
      <w:r w:rsidRPr="00CA6BF3">
        <w:rPr>
          <w:rFonts w:eastAsia="Times New Roman"/>
          <w:sz w:val="22"/>
          <w:szCs w:val="22"/>
        </w:rPr>
        <w:t>”, pubblicata sulla Gazzetta Ufficiale della Repubblica Italiana n. 304 del 30 dicembre 2019;</w:t>
      </w:r>
    </w:p>
    <w:p w:rsidR="00CA6BF3" w:rsidRPr="00CA6BF3" w:rsidRDefault="00CA6BF3" w:rsidP="00CA6BF3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CA6BF3">
        <w:rPr>
          <w:rFonts w:eastAsia="Times New Roman"/>
          <w:sz w:val="22"/>
          <w:szCs w:val="22"/>
        </w:rPr>
        <w:t xml:space="preserve">VISTO </w:t>
      </w:r>
      <w:r w:rsidRPr="00CA6BF3">
        <w:rPr>
          <w:rFonts w:eastAsia="Times New Roman"/>
          <w:sz w:val="22"/>
          <w:szCs w:val="22"/>
        </w:rPr>
        <w:tab/>
        <w:t>il D.M. del Ministero dell’Economia e delle Finanze del 30 dicembre 2019 “</w:t>
      </w:r>
      <w:r w:rsidRPr="00CA6BF3">
        <w:rPr>
          <w:rFonts w:eastAsia="Times New Roman"/>
          <w:i/>
          <w:sz w:val="22"/>
          <w:szCs w:val="22"/>
        </w:rPr>
        <w:t xml:space="preserve">Ripartizione in capitoli delle unità di voto parlamentare relativa al bilancio di previsione dello Stato per l’anno finanziario 2020 e per il triennio 2020 – 2022” </w:t>
      </w:r>
      <w:r w:rsidRPr="00CA6BF3">
        <w:rPr>
          <w:rFonts w:eastAsia="Times New Roman"/>
          <w:sz w:val="22"/>
          <w:szCs w:val="22"/>
        </w:rPr>
        <w:t xml:space="preserve"> ed, in particolare, la Tabella 7 allegata al D.M. concernente lo stato di previsione del MIUR;</w:t>
      </w:r>
    </w:p>
    <w:p w:rsidR="00CA6BF3" w:rsidRPr="00CA6BF3" w:rsidRDefault="00CA6BF3" w:rsidP="00CA6BF3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CA6BF3">
        <w:rPr>
          <w:rFonts w:eastAsia="Times New Roman"/>
          <w:sz w:val="22"/>
          <w:szCs w:val="22"/>
        </w:rPr>
        <w:t xml:space="preserve">VISTO </w:t>
      </w:r>
      <w:r w:rsidRPr="00CA6BF3">
        <w:rPr>
          <w:rFonts w:eastAsia="Times New Roman"/>
          <w:sz w:val="22"/>
          <w:szCs w:val="22"/>
        </w:rPr>
        <w:tab/>
        <w:t xml:space="preserve">il decreto ministeriale 10 agosto 2017, n. 130 recante </w:t>
      </w:r>
      <w:r w:rsidRPr="00CA6BF3">
        <w:rPr>
          <w:rFonts w:eastAsia="Times New Roman"/>
          <w:i/>
          <w:sz w:val="22"/>
          <w:szCs w:val="22"/>
        </w:rPr>
        <w:t>“Regolamento concernente le modalità per l’ammissione dei medici alle Scuole di specializzazione in medicina ai sensi dell’articolo 36, comma 1, del decreto legislativo 17 agosto 1999, n. 368”</w:t>
      </w:r>
      <w:r w:rsidRPr="00CA6BF3">
        <w:rPr>
          <w:rFonts w:eastAsia="Times New Roman"/>
          <w:sz w:val="22"/>
          <w:szCs w:val="22"/>
        </w:rPr>
        <w:t xml:space="preserve"> e, in particolare, l’articolo 3, comma 2, che prevede che </w:t>
      </w:r>
      <w:r w:rsidRPr="00CA6BF3">
        <w:rPr>
          <w:rFonts w:eastAsia="Times New Roman"/>
          <w:i/>
          <w:sz w:val="22"/>
          <w:szCs w:val="22"/>
        </w:rPr>
        <w:t>“l’organizzazione della prova a livello locale compete alle Istituzioni universitarie presenti sul territorio anche in forma aggregata tra loro per aree geografiche”</w:t>
      </w:r>
      <w:r w:rsidRPr="00CA6BF3">
        <w:rPr>
          <w:rFonts w:eastAsia="Times New Roman"/>
          <w:sz w:val="22"/>
          <w:szCs w:val="22"/>
        </w:rPr>
        <w:t>;</w:t>
      </w:r>
    </w:p>
    <w:p w:rsidR="00CA6BF3" w:rsidRPr="00CA6BF3" w:rsidRDefault="00CA6BF3" w:rsidP="00CA6BF3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CA6BF3">
        <w:rPr>
          <w:rFonts w:eastAsia="Times New Roman"/>
          <w:sz w:val="22"/>
          <w:szCs w:val="22"/>
        </w:rPr>
        <w:t>CONSIDERATO</w:t>
      </w:r>
      <w:r w:rsidRPr="00CA6BF3">
        <w:rPr>
          <w:rFonts w:eastAsia="Times New Roman"/>
          <w:sz w:val="22"/>
          <w:szCs w:val="22"/>
        </w:rPr>
        <w:tab/>
        <w:t>che per l’organizzazione della prova di concorso d’accesso alle scuole di specializzazione medica, per l’</w:t>
      </w:r>
      <w:proofErr w:type="spellStart"/>
      <w:r w:rsidRPr="00CA6BF3">
        <w:rPr>
          <w:rFonts w:eastAsia="Times New Roman"/>
          <w:sz w:val="22"/>
          <w:szCs w:val="22"/>
        </w:rPr>
        <w:t>a.a</w:t>
      </w:r>
      <w:proofErr w:type="spellEnd"/>
      <w:r w:rsidRPr="00CA6BF3">
        <w:rPr>
          <w:rFonts w:eastAsia="Times New Roman"/>
          <w:sz w:val="22"/>
          <w:szCs w:val="22"/>
        </w:rPr>
        <w:t>. 2019/2020, a causa dell’emergenza pandemica da Covid-19 si è verificata un sensibile incremento dei candidati iscritti, fatto che ha reso necessario il coinvolgimento di tutte le quarantuno Università statali sedi di scuole di medicina e chirurgia nell’espletamento di detto concorso, a differenza degli anni precedenti, che hanno visto la partecipazione soltanto delle undici università capofila, individuate per macro-aree di riferimento;</w:t>
      </w:r>
    </w:p>
    <w:p w:rsidR="00CA6BF3" w:rsidRPr="00CA6BF3" w:rsidRDefault="00CA6BF3" w:rsidP="00CA6BF3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CA6BF3">
        <w:rPr>
          <w:rFonts w:eastAsia="Times New Roman"/>
          <w:sz w:val="22"/>
          <w:szCs w:val="22"/>
        </w:rPr>
        <w:t>CONSIDERATO</w:t>
      </w:r>
      <w:r w:rsidRPr="00CA6BF3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CA6BF3">
        <w:rPr>
          <w:rFonts w:eastAsia="Times New Roman"/>
          <w:sz w:val="22"/>
          <w:szCs w:val="22"/>
        </w:rPr>
        <w:t>a.a</w:t>
      </w:r>
      <w:proofErr w:type="spellEnd"/>
      <w:r w:rsidRPr="00CA6BF3">
        <w:rPr>
          <w:rFonts w:eastAsia="Times New Roman"/>
          <w:sz w:val="22"/>
          <w:szCs w:val="22"/>
        </w:rPr>
        <w:t>. 2019/2020;</w:t>
      </w:r>
    </w:p>
    <w:p w:rsidR="00CA6BF3" w:rsidRPr="00CA6BF3" w:rsidRDefault="00CA6BF3" w:rsidP="00CA6BF3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CA6BF3">
        <w:rPr>
          <w:rFonts w:eastAsia="Calibri" w:cs="Arial"/>
          <w:bCs/>
          <w:lang w:eastAsia="ar-SA"/>
        </w:rPr>
        <w:t>VISTO</w:t>
      </w:r>
      <w:r w:rsidRPr="00CA6BF3">
        <w:rPr>
          <w:rFonts w:eastAsia="Times New Roman"/>
          <w:sz w:val="22"/>
          <w:szCs w:val="22"/>
        </w:rPr>
        <w:tab/>
      </w:r>
      <w:r w:rsidRPr="00CA6BF3">
        <w:rPr>
          <w:rFonts w:eastAsia="Calibri" w:cs="Arial"/>
          <w:sz w:val="22"/>
          <w:szCs w:val="22"/>
          <w:lang w:eastAsia="ar-SA"/>
        </w:rPr>
        <w:t>l’articolo 7 del decreto del Ministro dell’Istruzione di concerto con il Ministro dell’Università e della Ricerca, n. 117 dell’8 settembre 2020 che attribuisce alla Direzione generale per la formazione universitaria, l’inclusione e il diritto allo studio di cui al DPCM 21 ottobre 2019, la gestione delle risorse finanziarie indicate nella Tabella B allegata al predetto decreto;</w:t>
      </w:r>
    </w:p>
    <w:p w:rsidR="00CA6BF3" w:rsidRPr="00CA6BF3" w:rsidRDefault="00CA6BF3" w:rsidP="00CA6BF3">
      <w:pPr>
        <w:tabs>
          <w:tab w:val="left" w:pos="1134"/>
        </w:tabs>
        <w:suppressAutoHyphens/>
        <w:ind w:left="993" w:hanging="993"/>
        <w:jc w:val="both"/>
        <w:rPr>
          <w:rFonts w:eastAsia="Calibri" w:cs="Arial"/>
          <w:b/>
          <w:lang w:eastAsia="ar-SA"/>
        </w:rPr>
      </w:pPr>
      <w:r w:rsidRPr="00CA6BF3">
        <w:rPr>
          <w:rFonts w:eastAsia="Times New Roman"/>
          <w:lang w:eastAsia="ar-SA"/>
        </w:rPr>
        <w:t>VISTO</w:t>
      </w:r>
      <w:r w:rsidRPr="00CA6BF3">
        <w:rPr>
          <w:rFonts w:eastAsia="Times New Roman"/>
          <w:sz w:val="22"/>
          <w:szCs w:val="22"/>
        </w:rPr>
        <w:tab/>
      </w:r>
      <w:r w:rsidRPr="00CA6BF3">
        <w:rPr>
          <w:rFonts w:eastAsia="Times New Roman"/>
          <w:sz w:val="22"/>
          <w:szCs w:val="22"/>
          <w:lang w:eastAsia="ar-SA"/>
        </w:rPr>
        <w:t xml:space="preserve">il decreto del Direttore generale della Direzione generale per la formazione universitaria, l’inclusione e il diritto allo studio, n. 1631 del 19 ottobre 2020,  con il quale è stata assegnata alla </w:t>
      </w:r>
      <w:r w:rsidRPr="00CA6BF3">
        <w:rPr>
          <w:rFonts w:eastAsia="Times New Roman"/>
          <w:sz w:val="22"/>
          <w:szCs w:val="22"/>
          <w:lang w:eastAsia="ar-SA"/>
        </w:rPr>
        <w:lastRenderedPageBreak/>
        <w:t>dottoressa Maria Giovanna Zilli la delega per l’esercizio dei poteri di spesa, in termini di competenza, cassa e residui, tra gli altri, del capitolo 2494/PG1 “</w:t>
      </w:r>
      <w:r w:rsidRPr="00CA6BF3">
        <w:rPr>
          <w:rFonts w:eastAsia="Times New Roman"/>
          <w:i/>
          <w:sz w:val="22"/>
          <w:szCs w:val="22"/>
          <w:lang w:eastAsia="ar-SA"/>
        </w:rPr>
        <w:t>Rimborso alle Università per le spese sostenute per le prove di ammissione alle scuole di specializzazione in medicina”</w:t>
      </w:r>
      <w:r w:rsidRPr="00CA6BF3">
        <w:rPr>
          <w:rFonts w:eastAsia="Times New Roman"/>
          <w:sz w:val="22"/>
          <w:szCs w:val="22"/>
          <w:lang w:eastAsia="ar-SA"/>
        </w:rPr>
        <w:t xml:space="preserve"> del bilancio di questo Ministero per l’E.F. 2020;</w:t>
      </w:r>
    </w:p>
    <w:p w:rsidR="00CA6BF3" w:rsidRPr="00CA6BF3" w:rsidRDefault="00CA6BF3" w:rsidP="00CA6BF3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CA6BF3">
        <w:rPr>
          <w:rFonts w:eastAsia="Times New Roman"/>
          <w:sz w:val="22"/>
          <w:szCs w:val="22"/>
        </w:rPr>
        <w:t xml:space="preserve">VISTE </w:t>
      </w:r>
      <w:r w:rsidRPr="00CA6BF3">
        <w:rPr>
          <w:rFonts w:eastAsia="Times New Roman"/>
          <w:sz w:val="22"/>
          <w:szCs w:val="22"/>
        </w:rPr>
        <w:tab/>
        <w:t xml:space="preserve">le istanze </w:t>
      </w:r>
      <w:proofErr w:type="spellStart"/>
      <w:r w:rsidRPr="00CA6BF3">
        <w:rPr>
          <w:rFonts w:eastAsia="Times New Roman"/>
          <w:sz w:val="22"/>
          <w:szCs w:val="22"/>
        </w:rPr>
        <w:t>prot</w:t>
      </w:r>
      <w:proofErr w:type="spellEnd"/>
      <w:r w:rsidRPr="00CA6BF3">
        <w:rPr>
          <w:rFonts w:eastAsia="Times New Roman"/>
          <w:sz w:val="22"/>
          <w:szCs w:val="22"/>
        </w:rPr>
        <w:t xml:space="preserve">. n. 8215 del 19/03/2020 e </w:t>
      </w:r>
      <w:proofErr w:type="spellStart"/>
      <w:r w:rsidRPr="00CA6BF3">
        <w:rPr>
          <w:rFonts w:eastAsia="Times New Roman"/>
          <w:sz w:val="22"/>
          <w:szCs w:val="22"/>
        </w:rPr>
        <w:t>prot</w:t>
      </w:r>
      <w:proofErr w:type="spellEnd"/>
      <w:r w:rsidRPr="00CA6BF3">
        <w:rPr>
          <w:rFonts w:eastAsia="Times New Roman"/>
          <w:sz w:val="22"/>
          <w:szCs w:val="22"/>
        </w:rPr>
        <w:t xml:space="preserve">. n. 29346 del 26/10/2020, con le quali lo scrivente ha formalizzato istanza di riassegnazione delle entrate confluite nel cap. 2411, supplementari a quelle stabilizzate, rispettivamente dell’ultimo bimestre 2019 e dell’intero esercizio corrente, al capitolo di spesa collegato, ossia il 2494/PG1, per incrementare le disponibilità di quest’ultimo e rendere possibile il rimborso di tutti i quarantuno Atenei sopra citati; </w:t>
      </w:r>
    </w:p>
    <w:p w:rsidR="00CA6BF3" w:rsidRPr="00CA6BF3" w:rsidRDefault="00CA6BF3" w:rsidP="00CA6BF3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CA6BF3">
        <w:rPr>
          <w:rFonts w:eastAsia="Times New Roman"/>
          <w:sz w:val="22"/>
          <w:szCs w:val="22"/>
        </w:rPr>
        <w:t>CONSIDERATO</w:t>
      </w:r>
      <w:r w:rsidRPr="00CA6BF3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CA6BF3">
        <w:rPr>
          <w:rFonts w:eastAsia="Times New Roman"/>
          <w:sz w:val="22"/>
          <w:szCs w:val="22"/>
        </w:rPr>
        <w:t>a.a</w:t>
      </w:r>
      <w:proofErr w:type="spellEnd"/>
      <w:r w:rsidRPr="00CA6BF3">
        <w:rPr>
          <w:rFonts w:eastAsia="Times New Roman"/>
          <w:sz w:val="22"/>
          <w:szCs w:val="22"/>
        </w:rPr>
        <w:t>. 2019/2020, fatte salve eventuali integrazioni, il costo medio per candidato rimborsabile sulla base delle risorse attualmente disponibili nel capitolo dedicato è pari a euro 95,07, per un importo complessivo, per ciascun Ateneo interessato, pari alle somme di cui al prospetto che si allega al presente decreto;</w:t>
      </w:r>
    </w:p>
    <w:p w:rsidR="00CA6BF3" w:rsidRPr="00CA6BF3" w:rsidRDefault="00CA6BF3" w:rsidP="00CA6BF3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CA6BF3">
        <w:rPr>
          <w:rFonts w:eastAsia="Times New Roman"/>
          <w:sz w:val="22"/>
          <w:szCs w:val="22"/>
        </w:rPr>
        <w:t xml:space="preserve">PREMESSA la sussistenza dell’obbligo di pubblicazione online dei decreti di assegnazione di risorse a vario titolo agli Atenei statali, ai sensi del </w:t>
      </w:r>
      <w:proofErr w:type="spellStart"/>
      <w:r w:rsidRPr="00CA6BF3">
        <w:rPr>
          <w:rFonts w:eastAsia="Times New Roman"/>
          <w:sz w:val="22"/>
          <w:szCs w:val="22"/>
        </w:rPr>
        <w:t>D.Lgs</w:t>
      </w:r>
      <w:proofErr w:type="spellEnd"/>
      <w:r w:rsidRPr="00CA6BF3">
        <w:rPr>
          <w:rFonts w:eastAsia="Times New Roman"/>
          <w:sz w:val="22"/>
          <w:szCs w:val="22"/>
        </w:rPr>
        <w:t xml:space="preserve"> 14/03/2013, n. 33, e che detta pubblicazione sarà perfezionata successivamente all’accreditamento dell’importo di cui al presente;</w:t>
      </w: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DECRETA</w:t>
      </w:r>
    </w:p>
    <w:p w:rsidR="00D73455" w:rsidRPr="00D73455" w:rsidRDefault="00D73455" w:rsidP="00D73455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Art. 1</w:t>
      </w:r>
    </w:p>
    <w:p w:rsidR="001C227B" w:rsidRPr="001C227B" w:rsidRDefault="001C227B" w:rsidP="001C227B">
      <w:pPr>
        <w:tabs>
          <w:tab w:val="left" w:pos="709"/>
          <w:tab w:val="left" w:pos="8479"/>
        </w:tabs>
        <w:ind w:left="357"/>
        <w:jc w:val="both"/>
        <w:rPr>
          <w:rFonts w:eastAsia="Times New Roman"/>
          <w:sz w:val="22"/>
          <w:szCs w:val="22"/>
        </w:rPr>
      </w:pPr>
      <w:r w:rsidRPr="001C227B">
        <w:rPr>
          <w:rFonts w:eastAsia="Times New Roman"/>
          <w:sz w:val="22"/>
          <w:szCs w:val="22"/>
        </w:rPr>
        <w:t>In relazione a quanto indicato in premessa è autorizzato l’impegno ed il contestuale pagamento, a titolo di rimborso delle spese sostenute per l’espletamento delle prove di ammissione alle Scuole di specializzazione di area medica nell’</w:t>
      </w:r>
      <w:proofErr w:type="spellStart"/>
      <w:r w:rsidRPr="001C227B">
        <w:rPr>
          <w:rFonts w:eastAsia="Times New Roman"/>
          <w:sz w:val="22"/>
          <w:szCs w:val="22"/>
        </w:rPr>
        <w:t>a.a</w:t>
      </w:r>
      <w:proofErr w:type="spellEnd"/>
      <w:r w:rsidRPr="001C227B">
        <w:rPr>
          <w:rFonts w:eastAsia="Times New Roman"/>
          <w:sz w:val="22"/>
          <w:szCs w:val="22"/>
        </w:rPr>
        <w:t xml:space="preserve">. </w:t>
      </w:r>
      <w:r>
        <w:rPr>
          <w:rFonts w:eastAsia="Times New Roman"/>
          <w:sz w:val="22"/>
          <w:szCs w:val="22"/>
        </w:rPr>
        <w:t>2019</w:t>
      </w:r>
      <w:r w:rsidRPr="001C227B">
        <w:rPr>
          <w:rFonts w:eastAsia="Times New Roman"/>
          <w:sz w:val="22"/>
          <w:szCs w:val="22"/>
        </w:rPr>
        <w:t>/20</w:t>
      </w:r>
      <w:r>
        <w:rPr>
          <w:rFonts w:eastAsia="Times New Roman"/>
          <w:sz w:val="22"/>
          <w:szCs w:val="22"/>
        </w:rPr>
        <w:t>20</w:t>
      </w:r>
      <w:r w:rsidRPr="001C227B">
        <w:rPr>
          <w:rFonts w:eastAsia="Times New Roman"/>
          <w:sz w:val="22"/>
          <w:szCs w:val="22"/>
        </w:rPr>
        <w:t xml:space="preserve">, a favore dell’Università degli Studi di Cagliari, C.F. 80019600925, per un importo pari a euro </w:t>
      </w:r>
      <w:r>
        <w:rPr>
          <w:rFonts w:eastAsia="Times New Roman"/>
          <w:sz w:val="22"/>
          <w:szCs w:val="22"/>
        </w:rPr>
        <w:t>58</w:t>
      </w:r>
      <w:r w:rsidRPr="001C227B">
        <w:rPr>
          <w:rFonts w:eastAsia="Times New Roman"/>
          <w:sz w:val="22"/>
          <w:szCs w:val="22"/>
        </w:rPr>
        <w:t>.</w:t>
      </w:r>
      <w:r>
        <w:rPr>
          <w:rFonts w:eastAsia="Times New Roman"/>
          <w:sz w:val="22"/>
          <w:szCs w:val="22"/>
        </w:rPr>
        <w:t>658,41</w:t>
      </w:r>
      <w:r w:rsidRPr="001C227B">
        <w:rPr>
          <w:rFonts w:eastAsia="Times New Roman"/>
          <w:sz w:val="22"/>
          <w:szCs w:val="22"/>
        </w:rPr>
        <w:t xml:space="preserve"> (cinquant</w:t>
      </w:r>
      <w:r>
        <w:rPr>
          <w:rFonts w:eastAsia="Times New Roman"/>
          <w:sz w:val="22"/>
          <w:szCs w:val="22"/>
        </w:rPr>
        <w:t>ottomilaseicentocinquantotto</w:t>
      </w:r>
      <w:r w:rsidRPr="001C227B">
        <w:rPr>
          <w:rFonts w:eastAsia="Times New Roman"/>
          <w:sz w:val="22"/>
          <w:szCs w:val="22"/>
        </w:rPr>
        <w:t>/</w:t>
      </w:r>
      <w:r>
        <w:rPr>
          <w:rFonts w:eastAsia="Times New Roman"/>
          <w:sz w:val="22"/>
          <w:szCs w:val="22"/>
        </w:rPr>
        <w:t>41</w:t>
      </w:r>
      <w:r w:rsidRPr="001C227B">
        <w:rPr>
          <w:rFonts w:eastAsia="Times New Roman"/>
          <w:sz w:val="22"/>
          <w:szCs w:val="22"/>
        </w:rPr>
        <w:t>).</w:t>
      </w:r>
    </w:p>
    <w:p w:rsidR="001C227B" w:rsidRPr="001C227B" w:rsidRDefault="001C227B" w:rsidP="001C227B">
      <w:pPr>
        <w:tabs>
          <w:tab w:val="left" w:pos="709"/>
          <w:tab w:val="left" w:pos="8479"/>
        </w:tabs>
        <w:ind w:left="357"/>
        <w:jc w:val="both"/>
        <w:rPr>
          <w:rFonts w:eastAsia="Times New Roman"/>
          <w:sz w:val="22"/>
          <w:szCs w:val="22"/>
        </w:rPr>
      </w:pPr>
      <w:r w:rsidRPr="001C227B">
        <w:rPr>
          <w:rFonts w:eastAsia="Times New Roman"/>
          <w:sz w:val="22"/>
          <w:szCs w:val="22"/>
        </w:rPr>
        <w:t>Tale pagamento graverà sul capitolo 2494/PG 1 dello stato di previsione della spesa dello scrivente Minis</w:t>
      </w:r>
      <w:r>
        <w:rPr>
          <w:rFonts w:eastAsia="Times New Roman"/>
          <w:sz w:val="22"/>
          <w:szCs w:val="22"/>
        </w:rPr>
        <w:t>tero per l’anno finanziario 2020</w:t>
      </w:r>
      <w:r w:rsidRPr="001C227B">
        <w:rPr>
          <w:rFonts w:eastAsia="Times New Roman"/>
          <w:sz w:val="22"/>
          <w:szCs w:val="22"/>
        </w:rPr>
        <w:t>, mediante versamento sul conto di tesoreria n.</w:t>
      </w:r>
      <w:r w:rsidRPr="001C227B">
        <w:rPr>
          <w:rFonts w:eastAsia="Times New Roman"/>
          <w:bCs/>
          <w:sz w:val="22"/>
          <w:szCs w:val="22"/>
        </w:rPr>
        <w:t xml:space="preserve"> </w:t>
      </w:r>
      <w:r w:rsidRPr="001C227B">
        <w:rPr>
          <w:rFonts w:eastAsia="Times New Roman"/>
          <w:sz w:val="22"/>
          <w:szCs w:val="22"/>
        </w:rPr>
        <w:t>520/37390.</w:t>
      </w:r>
    </w:p>
    <w:p w:rsidR="00D73455" w:rsidRPr="00D73455" w:rsidRDefault="00D73455" w:rsidP="00D73455">
      <w:pPr>
        <w:tabs>
          <w:tab w:val="left" w:pos="709"/>
          <w:tab w:val="left" w:pos="8479"/>
        </w:tabs>
        <w:ind w:left="357"/>
        <w:jc w:val="both"/>
        <w:rPr>
          <w:rFonts w:ascii="Tahoma" w:eastAsia="Times New Roman" w:hAnsi="Tahoma" w:cs="Tahoma"/>
          <w:sz w:val="22"/>
          <w:szCs w:val="22"/>
        </w:rPr>
      </w:pPr>
    </w:p>
    <w:p w:rsidR="00AD112A" w:rsidRPr="00AD112A" w:rsidRDefault="00AD112A" w:rsidP="006E263B"/>
    <w:p w:rsidR="006E263B" w:rsidRPr="00AD112A" w:rsidRDefault="006E263B" w:rsidP="00AD112A">
      <w:pPr>
        <w:spacing w:before="120" w:after="120"/>
      </w:pPr>
    </w:p>
    <w:p w:rsidR="006E263B" w:rsidRPr="00AD112A" w:rsidRDefault="006E263B" w:rsidP="00AD112A">
      <w:pPr>
        <w:spacing w:before="120" w:after="120"/>
      </w:pPr>
    </w:p>
    <w:p w:rsidR="00AD112A" w:rsidRPr="00AD112A" w:rsidRDefault="008C0D74" w:rsidP="00AD112A">
      <w:pPr>
        <w:ind w:left="3540" w:firstLine="708"/>
        <w:jc w:val="center"/>
        <w:rPr>
          <w:smallCaps/>
        </w:rPr>
      </w:pPr>
      <w:r>
        <w:rPr>
          <w:caps/>
        </w:rPr>
        <w:t>IL</w:t>
      </w:r>
      <w:r w:rsidR="00AD112A" w:rsidRPr="00AD112A">
        <w:rPr>
          <w:smallCaps/>
        </w:rPr>
        <w:t xml:space="preserve"> </w:t>
      </w:r>
      <w:r w:rsidR="006C2E82">
        <w:rPr>
          <w:smallCaps/>
        </w:rPr>
        <w:t>DIRIGENTE</w:t>
      </w:r>
      <w:r w:rsidR="00AD112A" w:rsidRPr="00AD112A">
        <w:rPr>
          <w:smallCaps/>
        </w:rPr>
        <w:t xml:space="preserve"> </w:t>
      </w:r>
    </w:p>
    <w:p w:rsidR="00D64D98" w:rsidRPr="00D64D98" w:rsidRDefault="00D64D98" w:rsidP="00D64D98">
      <w:pPr>
        <w:ind w:left="3540" w:firstLine="708"/>
        <w:jc w:val="center"/>
        <w:rPr>
          <w:rFonts w:eastAsia="Calibri"/>
          <w:i/>
          <w:iCs/>
        </w:rPr>
      </w:pPr>
      <w:r w:rsidRPr="00D64D98">
        <w:rPr>
          <w:rFonts w:eastAsia="Calibri"/>
          <w:iCs/>
        </w:rPr>
        <w:t xml:space="preserve">Firmato: </w:t>
      </w:r>
      <w:r w:rsidRPr="00D64D98">
        <w:rPr>
          <w:rFonts w:eastAsia="Calibri"/>
          <w:i/>
          <w:iCs/>
        </w:rPr>
        <w:t>Dott.ssa Maria Giovanna Zilli</w:t>
      </w:r>
    </w:p>
    <w:p w:rsidR="00D64D98" w:rsidRPr="00D64D98" w:rsidRDefault="00D64D98" w:rsidP="00D64D98">
      <w:pPr>
        <w:ind w:left="3540" w:firstLine="708"/>
        <w:jc w:val="center"/>
        <w:rPr>
          <w:rFonts w:eastAsia="Calibri"/>
          <w:sz w:val="16"/>
          <w:szCs w:val="16"/>
          <w:lang w:val="en-US"/>
        </w:rPr>
      </w:pPr>
      <w:r w:rsidRPr="00D64D98">
        <w:rPr>
          <w:rFonts w:eastAsia="Calibri"/>
          <w:sz w:val="16"/>
          <w:szCs w:val="16"/>
          <w:lang w:val="en-US"/>
        </w:rPr>
        <w:t>(</w:t>
      </w:r>
      <w:proofErr w:type="spellStart"/>
      <w:r w:rsidRPr="00D64D98">
        <w:rPr>
          <w:rFonts w:eastAsia="Calibri"/>
          <w:sz w:val="16"/>
          <w:szCs w:val="16"/>
          <w:lang w:val="en-US"/>
        </w:rPr>
        <w:t>ex art</w:t>
      </w:r>
      <w:proofErr w:type="spellEnd"/>
      <w:r w:rsidRPr="00D64D98">
        <w:rPr>
          <w:rFonts w:eastAsia="Calibri"/>
          <w:sz w:val="16"/>
          <w:szCs w:val="16"/>
          <w:lang w:val="en-US"/>
        </w:rPr>
        <w:t>. 4, co.1, D.L. n. 1/2020)</w:t>
      </w:r>
    </w:p>
    <w:p w:rsidR="00AD112A" w:rsidRPr="00464C2C" w:rsidRDefault="00AD112A" w:rsidP="00D64D98">
      <w:pPr>
        <w:ind w:left="3540" w:firstLine="708"/>
        <w:jc w:val="center"/>
        <w:rPr>
          <w:sz w:val="16"/>
          <w:szCs w:val="16"/>
          <w:lang w:val="en-US"/>
        </w:rPr>
      </w:pPr>
      <w:bookmarkStart w:id="0" w:name="_GoBack"/>
      <w:bookmarkEnd w:id="0"/>
    </w:p>
    <w:sectPr w:rsidR="00AD112A" w:rsidRPr="00464C2C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FFA" w:rsidRDefault="00D64FFA">
      <w:r>
        <w:separator/>
      </w:r>
    </w:p>
  </w:endnote>
  <w:endnote w:type="continuationSeparator" w:id="0">
    <w:p w:rsidR="00D64FFA" w:rsidRDefault="00D64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D64FFA" w:rsidP="005D6D6C">
    <w:pPr>
      <w:pStyle w:val="Pidipagina"/>
      <w:rPr>
        <w:rStyle w:val="Numeropagina"/>
      </w:rPr>
    </w:pPr>
  </w:p>
  <w:p w:rsidR="005D6D6C" w:rsidRDefault="00D64FFA" w:rsidP="005D6D6C">
    <w:pPr>
      <w:pStyle w:val="Pidipagina"/>
    </w:pPr>
  </w:p>
  <w:p w:rsidR="005D6D6C" w:rsidRDefault="00D64FFA" w:rsidP="005D6D6C"/>
  <w:p w:rsidR="005D6D6C" w:rsidRDefault="00D64FFA" w:rsidP="005D6D6C"/>
  <w:p w:rsidR="005D6D6C" w:rsidRDefault="00D64FFA" w:rsidP="005D6D6C"/>
  <w:p w:rsidR="005D6D6C" w:rsidRDefault="00D64FFA" w:rsidP="005D6D6C"/>
  <w:p w:rsidR="005D6D6C" w:rsidRDefault="00D64FFA" w:rsidP="005D6D6C"/>
  <w:p w:rsidR="005D6D6C" w:rsidRDefault="00D64FFA" w:rsidP="005D6D6C"/>
  <w:p w:rsidR="005D6D6C" w:rsidRDefault="00D64FFA" w:rsidP="005D6D6C"/>
  <w:p w:rsidR="005D6D6C" w:rsidRDefault="00D64FFA" w:rsidP="005D6D6C"/>
  <w:p w:rsidR="005D6D6C" w:rsidRDefault="00D64FFA" w:rsidP="005D6D6C"/>
  <w:p w:rsidR="005D6D6C" w:rsidRDefault="00D64FFA" w:rsidP="005D6D6C"/>
  <w:p w:rsidR="005D6D6C" w:rsidRDefault="00D64FFA" w:rsidP="005D6D6C"/>
  <w:p w:rsidR="005D6D6C" w:rsidRDefault="00D64FFA" w:rsidP="005D6D6C"/>
  <w:p w:rsidR="005D6D6C" w:rsidRDefault="00D64FFA" w:rsidP="005D6D6C"/>
  <w:p w:rsidR="005D6D6C" w:rsidRDefault="00D64FFA" w:rsidP="005D6D6C"/>
  <w:p w:rsidR="005D6D6C" w:rsidRDefault="00D64FFA" w:rsidP="005D6D6C"/>
  <w:p w:rsidR="005D6D6C" w:rsidRDefault="00D64FFA" w:rsidP="005D6D6C"/>
  <w:p w:rsidR="005D6D6C" w:rsidRDefault="00D64FFA" w:rsidP="005D6D6C"/>
  <w:p w:rsidR="005D6D6C" w:rsidRDefault="00D64FFA" w:rsidP="005D6D6C"/>
  <w:p w:rsidR="005D6D6C" w:rsidRDefault="00D64FFA" w:rsidP="005D6D6C"/>
  <w:p w:rsidR="005D6D6C" w:rsidRDefault="00D64FFA" w:rsidP="005D6D6C"/>
  <w:p w:rsidR="005D6D6C" w:rsidRDefault="00D64FFA" w:rsidP="005D6D6C"/>
  <w:p w:rsidR="005D6D6C" w:rsidRDefault="00D64FFA" w:rsidP="005D6D6C"/>
  <w:p w:rsidR="005D6D6C" w:rsidRDefault="00D64FFA" w:rsidP="005D6D6C"/>
  <w:p w:rsidR="005D6D6C" w:rsidRDefault="00D64FFA" w:rsidP="005D6D6C"/>
  <w:p w:rsidR="005D6D6C" w:rsidRDefault="00D64FFA" w:rsidP="005D6D6C"/>
  <w:p w:rsidR="005D6D6C" w:rsidRDefault="00D64FFA" w:rsidP="005D6D6C"/>
  <w:p w:rsidR="005D6D6C" w:rsidRDefault="00D64FFA" w:rsidP="005D6D6C"/>
  <w:p w:rsidR="005D6D6C" w:rsidRDefault="00D64FFA" w:rsidP="005D6D6C"/>
  <w:p w:rsidR="005D6D6C" w:rsidRDefault="00D64FFA" w:rsidP="005D6D6C"/>
  <w:p w:rsidR="005D6D6C" w:rsidRDefault="00D64FFA" w:rsidP="005D6D6C"/>
  <w:p w:rsidR="005D6D6C" w:rsidRDefault="00D64FFA" w:rsidP="005D6D6C"/>
  <w:p w:rsidR="005D6D6C" w:rsidRDefault="00D64FFA" w:rsidP="005D6D6C"/>
  <w:p w:rsidR="005D6D6C" w:rsidRDefault="00D64FFA" w:rsidP="005D6D6C"/>
  <w:p w:rsidR="005D6D6C" w:rsidRDefault="00D64FFA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Default="00AC4F9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FFA" w:rsidRDefault="00D64FFA">
      <w:r>
        <w:separator/>
      </w:r>
    </w:p>
  </w:footnote>
  <w:footnote w:type="continuationSeparator" w:id="0">
    <w:p w:rsidR="00D64FFA" w:rsidRDefault="00D64F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D64FFA" w:rsidP="005D6D6C">
    <w:pPr>
      <w:pStyle w:val="Intestazione"/>
    </w:pPr>
  </w:p>
  <w:p w:rsidR="005D6D6C" w:rsidRDefault="00D64FFA" w:rsidP="005D6D6C"/>
  <w:p w:rsidR="005D6D6C" w:rsidRDefault="00D64FFA" w:rsidP="005D6D6C"/>
  <w:p w:rsidR="005D6D6C" w:rsidRDefault="00D64FFA" w:rsidP="005D6D6C"/>
  <w:p w:rsidR="005D6D6C" w:rsidRDefault="00D64FFA" w:rsidP="005D6D6C"/>
  <w:p w:rsidR="005D6D6C" w:rsidRDefault="00D64FFA" w:rsidP="005D6D6C"/>
  <w:p w:rsidR="005D6D6C" w:rsidRDefault="00D64FFA" w:rsidP="005D6D6C"/>
  <w:p w:rsidR="005D6D6C" w:rsidRDefault="00D64FFA" w:rsidP="005D6D6C"/>
  <w:p w:rsidR="005D6D6C" w:rsidRDefault="00D64FFA" w:rsidP="005D6D6C"/>
  <w:p w:rsidR="005D6D6C" w:rsidRDefault="00D64FFA" w:rsidP="005D6D6C"/>
  <w:p w:rsidR="005D6D6C" w:rsidRDefault="00D64FFA" w:rsidP="005D6D6C"/>
  <w:p w:rsidR="005D6D6C" w:rsidRDefault="00D64FFA" w:rsidP="005D6D6C"/>
  <w:p w:rsidR="005D6D6C" w:rsidRDefault="00D64FFA" w:rsidP="005D6D6C"/>
  <w:p w:rsidR="005D6D6C" w:rsidRDefault="00D64FFA" w:rsidP="005D6D6C"/>
  <w:p w:rsidR="005D6D6C" w:rsidRDefault="00D64FFA" w:rsidP="005D6D6C"/>
  <w:p w:rsidR="005D6D6C" w:rsidRDefault="00D64FFA" w:rsidP="005D6D6C"/>
  <w:p w:rsidR="005D6D6C" w:rsidRDefault="00D64FFA" w:rsidP="005D6D6C"/>
  <w:p w:rsidR="005D6D6C" w:rsidRDefault="00D64FFA" w:rsidP="005D6D6C"/>
  <w:p w:rsidR="005D6D6C" w:rsidRDefault="00D64FFA" w:rsidP="005D6D6C"/>
  <w:p w:rsidR="005D6D6C" w:rsidRDefault="00D64FFA" w:rsidP="005D6D6C"/>
  <w:p w:rsidR="005D6D6C" w:rsidRDefault="00D64FFA" w:rsidP="005D6D6C"/>
  <w:p w:rsidR="005D6D6C" w:rsidRDefault="00D64FFA" w:rsidP="005D6D6C"/>
  <w:p w:rsidR="005D6D6C" w:rsidRDefault="00D64FFA" w:rsidP="005D6D6C"/>
  <w:p w:rsidR="005D6D6C" w:rsidRDefault="00D64FFA" w:rsidP="005D6D6C"/>
  <w:p w:rsidR="005D6D6C" w:rsidRDefault="00D64FFA" w:rsidP="005D6D6C"/>
  <w:p w:rsidR="005D6D6C" w:rsidRDefault="00D64FFA" w:rsidP="005D6D6C"/>
  <w:p w:rsidR="005D6D6C" w:rsidRDefault="00D64FFA" w:rsidP="005D6D6C"/>
  <w:p w:rsidR="005D6D6C" w:rsidRDefault="00D64FFA" w:rsidP="005D6D6C"/>
  <w:p w:rsidR="005D6D6C" w:rsidRDefault="00D64FFA" w:rsidP="005D6D6C"/>
  <w:p w:rsidR="005D6D6C" w:rsidRDefault="00D64FFA" w:rsidP="005D6D6C"/>
  <w:p w:rsidR="005D6D6C" w:rsidRDefault="00D64FFA" w:rsidP="005D6D6C"/>
  <w:p w:rsidR="005D6D6C" w:rsidRDefault="00D64FFA" w:rsidP="005D6D6C"/>
  <w:p w:rsidR="005D6D6C" w:rsidRDefault="00D64FFA" w:rsidP="005D6D6C"/>
  <w:p w:rsidR="005D6D6C" w:rsidRDefault="00D64FFA" w:rsidP="005D6D6C"/>
  <w:p w:rsidR="005D6D6C" w:rsidRDefault="00D64FFA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13401"/>
    <w:rsid w:val="00016506"/>
    <w:rsid w:val="00022889"/>
    <w:rsid w:val="00043047"/>
    <w:rsid w:val="00094B60"/>
    <w:rsid w:val="000956A3"/>
    <w:rsid w:val="000A3EA9"/>
    <w:rsid w:val="000D7F1F"/>
    <w:rsid w:val="000E5EB1"/>
    <w:rsid w:val="00132E10"/>
    <w:rsid w:val="00147FA8"/>
    <w:rsid w:val="0015079D"/>
    <w:rsid w:val="001947B9"/>
    <w:rsid w:val="001B2332"/>
    <w:rsid w:val="001C227B"/>
    <w:rsid w:val="001F036B"/>
    <w:rsid w:val="001F5103"/>
    <w:rsid w:val="002462DF"/>
    <w:rsid w:val="00254CBE"/>
    <w:rsid w:val="00294C7E"/>
    <w:rsid w:val="002A3B70"/>
    <w:rsid w:val="002C3D2A"/>
    <w:rsid w:val="002E210E"/>
    <w:rsid w:val="002E4C4E"/>
    <w:rsid w:val="00300396"/>
    <w:rsid w:val="003056E8"/>
    <w:rsid w:val="00345CD7"/>
    <w:rsid w:val="00355BB1"/>
    <w:rsid w:val="00362C8C"/>
    <w:rsid w:val="00365AD6"/>
    <w:rsid w:val="003A0DB6"/>
    <w:rsid w:val="003B6972"/>
    <w:rsid w:val="003D33DB"/>
    <w:rsid w:val="003D3CC8"/>
    <w:rsid w:val="00423444"/>
    <w:rsid w:val="0046337E"/>
    <w:rsid w:val="00464C2C"/>
    <w:rsid w:val="0048238A"/>
    <w:rsid w:val="004A23E4"/>
    <w:rsid w:val="004C5E1D"/>
    <w:rsid w:val="004D7803"/>
    <w:rsid w:val="00530A30"/>
    <w:rsid w:val="00536D28"/>
    <w:rsid w:val="005449C2"/>
    <w:rsid w:val="00593721"/>
    <w:rsid w:val="005C13A1"/>
    <w:rsid w:val="005C2959"/>
    <w:rsid w:val="005F07B3"/>
    <w:rsid w:val="0062361D"/>
    <w:rsid w:val="00646527"/>
    <w:rsid w:val="00676F36"/>
    <w:rsid w:val="00692792"/>
    <w:rsid w:val="006A1E26"/>
    <w:rsid w:val="006B6A4C"/>
    <w:rsid w:val="006B792C"/>
    <w:rsid w:val="006C10FB"/>
    <w:rsid w:val="006C2E82"/>
    <w:rsid w:val="006D72E7"/>
    <w:rsid w:val="006E263B"/>
    <w:rsid w:val="006F1445"/>
    <w:rsid w:val="00704AF0"/>
    <w:rsid w:val="0071572F"/>
    <w:rsid w:val="007C0FC8"/>
    <w:rsid w:val="007F4CBF"/>
    <w:rsid w:val="007F7E0B"/>
    <w:rsid w:val="00801BE2"/>
    <w:rsid w:val="00840A0D"/>
    <w:rsid w:val="008436E0"/>
    <w:rsid w:val="00862C8B"/>
    <w:rsid w:val="00862DC2"/>
    <w:rsid w:val="00867FD4"/>
    <w:rsid w:val="00875477"/>
    <w:rsid w:val="00881B22"/>
    <w:rsid w:val="008961D1"/>
    <w:rsid w:val="008C0D74"/>
    <w:rsid w:val="008C1116"/>
    <w:rsid w:val="008D2E34"/>
    <w:rsid w:val="00920E34"/>
    <w:rsid w:val="009237B6"/>
    <w:rsid w:val="00980712"/>
    <w:rsid w:val="00992252"/>
    <w:rsid w:val="009A575D"/>
    <w:rsid w:val="009A6F9C"/>
    <w:rsid w:val="009E1140"/>
    <w:rsid w:val="009F32BF"/>
    <w:rsid w:val="00A215A6"/>
    <w:rsid w:val="00A218FB"/>
    <w:rsid w:val="00A22331"/>
    <w:rsid w:val="00A22712"/>
    <w:rsid w:val="00A233F6"/>
    <w:rsid w:val="00A23A31"/>
    <w:rsid w:val="00A42390"/>
    <w:rsid w:val="00AA0998"/>
    <w:rsid w:val="00AA6D33"/>
    <w:rsid w:val="00AC4F99"/>
    <w:rsid w:val="00AD112A"/>
    <w:rsid w:val="00B01810"/>
    <w:rsid w:val="00B302EA"/>
    <w:rsid w:val="00B34239"/>
    <w:rsid w:val="00B369B5"/>
    <w:rsid w:val="00B70EFB"/>
    <w:rsid w:val="00B718E2"/>
    <w:rsid w:val="00B77912"/>
    <w:rsid w:val="00BB22EB"/>
    <w:rsid w:val="00BB22FE"/>
    <w:rsid w:val="00BC3A6B"/>
    <w:rsid w:val="00BE7749"/>
    <w:rsid w:val="00C038FF"/>
    <w:rsid w:val="00C10102"/>
    <w:rsid w:val="00C128DB"/>
    <w:rsid w:val="00C32E09"/>
    <w:rsid w:val="00C555C0"/>
    <w:rsid w:val="00C8737E"/>
    <w:rsid w:val="00CA6BF3"/>
    <w:rsid w:val="00CB1D07"/>
    <w:rsid w:val="00CB71CC"/>
    <w:rsid w:val="00CD1073"/>
    <w:rsid w:val="00CF2D60"/>
    <w:rsid w:val="00D14ED5"/>
    <w:rsid w:val="00D4098A"/>
    <w:rsid w:val="00D41CF1"/>
    <w:rsid w:val="00D64D98"/>
    <w:rsid w:val="00D64FFA"/>
    <w:rsid w:val="00D66665"/>
    <w:rsid w:val="00D72B65"/>
    <w:rsid w:val="00D73455"/>
    <w:rsid w:val="00D80551"/>
    <w:rsid w:val="00DB68E4"/>
    <w:rsid w:val="00DC2159"/>
    <w:rsid w:val="00DD47F6"/>
    <w:rsid w:val="00DE193E"/>
    <w:rsid w:val="00DE664D"/>
    <w:rsid w:val="00E0419B"/>
    <w:rsid w:val="00E15156"/>
    <w:rsid w:val="00E21822"/>
    <w:rsid w:val="00E325DD"/>
    <w:rsid w:val="00E32E09"/>
    <w:rsid w:val="00E401C6"/>
    <w:rsid w:val="00E62BAD"/>
    <w:rsid w:val="00E74AD0"/>
    <w:rsid w:val="00E771FA"/>
    <w:rsid w:val="00EB0655"/>
    <w:rsid w:val="00F0052D"/>
    <w:rsid w:val="00F33CF9"/>
    <w:rsid w:val="00F34EC8"/>
    <w:rsid w:val="00F41D12"/>
    <w:rsid w:val="00F54C86"/>
    <w:rsid w:val="00FA0E12"/>
    <w:rsid w:val="00FF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53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0A269-7323-40D9-A22E-94EB9AD58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898</Words>
  <Characters>5122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23</cp:revision>
  <cp:lastPrinted>2016-01-08T16:33:00Z</cp:lastPrinted>
  <dcterms:created xsi:type="dcterms:W3CDTF">2020-11-10T15:31:00Z</dcterms:created>
  <dcterms:modified xsi:type="dcterms:W3CDTF">2021-05-17T13:53:00Z</dcterms:modified>
</cp:coreProperties>
</file>