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C12624" w:rsidRPr="00C12624" w:rsidRDefault="00C12624" w:rsidP="00C12624">
      <w:pPr>
        <w:jc w:val="both"/>
        <w:rPr>
          <w:rFonts w:eastAsia="Times New Roman"/>
          <w:sz w:val="22"/>
          <w:szCs w:val="22"/>
        </w:rPr>
      </w:pPr>
      <w:r w:rsidRPr="00C12624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C12624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C12624">
        <w:rPr>
          <w:rFonts w:eastAsia="Times New Roman"/>
          <w:sz w:val="22"/>
          <w:szCs w:val="22"/>
        </w:rPr>
        <w:t xml:space="preserve">, a favore dell’Università degli Studi di </w:t>
      </w:r>
      <w:r w:rsidR="00E61922">
        <w:rPr>
          <w:rFonts w:eastAsia="Times New Roman"/>
          <w:sz w:val="22"/>
          <w:szCs w:val="22"/>
        </w:rPr>
        <w:t>Sassari</w:t>
      </w:r>
      <w:r w:rsidRPr="00C12624">
        <w:rPr>
          <w:rFonts w:eastAsia="Times New Roman"/>
          <w:sz w:val="22"/>
          <w:szCs w:val="22"/>
        </w:rPr>
        <w:t>, C.F</w:t>
      </w:r>
      <w:r w:rsidR="00CE224B">
        <w:rPr>
          <w:rFonts w:eastAsia="Times New Roman"/>
          <w:sz w:val="22"/>
          <w:szCs w:val="22"/>
        </w:rPr>
        <w:t>.</w:t>
      </w:r>
      <w:r w:rsidR="00CE224B" w:rsidRPr="00CE224B">
        <w:t xml:space="preserve"> </w:t>
      </w:r>
      <w:r w:rsidR="00E61922" w:rsidRPr="00E61922">
        <w:rPr>
          <w:rFonts w:eastAsia="Times New Roman"/>
          <w:sz w:val="22"/>
          <w:szCs w:val="22"/>
        </w:rPr>
        <w:t>00196350904</w:t>
      </w:r>
      <w:r w:rsidRPr="00C12624">
        <w:rPr>
          <w:rFonts w:eastAsia="Times New Roman"/>
          <w:sz w:val="22"/>
          <w:szCs w:val="22"/>
        </w:rPr>
        <w:t xml:space="preserve">, per un importo pari a euro </w:t>
      </w:r>
      <w:r w:rsidR="00E61922">
        <w:rPr>
          <w:rFonts w:eastAsia="Times New Roman"/>
          <w:sz w:val="22"/>
          <w:szCs w:val="22"/>
        </w:rPr>
        <w:t>21.200,69</w:t>
      </w:r>
      <w:r w:rsidRPr="00C12624">
        <w:rPr>
          <w:rFonts w:eastAsia="Times New Roman"/>
          <w:sz w:val="22"/>
          <w:szCs w:val="22"/>
        </w:rPr>
        <w:t xml:space="preserve"> (</w:t>
      </w:r>
      <w:proofErr w:type="spellStart"/>
      <w:r w:rsidR="00E61922">
        <w:rPr>
          <w:rFonts w:eastAsia="Times New Roman"/>
          <w:sz w:val="22"/>
          <w:szCs w:val="22"/>
        </w:rPr>
        <w:t>ventunomiladuecento</w:t>
      </w:r>
      <w:proofErr w:type="spellEnd"/>
      <w:r w:rsidR="00CE224B">
        <w:rPr>
          <w:rFonts w:eastAsia="Times New Roman"/>
          <w:sz w:val="22"/>
          <w:szCs w:val="22"/>
        </w:rPr>
        <w:t>/6</w:t>
      </w:r>
      <w:r w:rsidR="00E61922">
        <w:rPr>
          <w:rFonts w:eastAsia="Times New Roman"/>
          <w:sz w:val="22"/>
          <w:szCs w:val="22"/>
        </w:rPr>
        <w:t>9</w:t>
      </w:r>
      <w:r w:rsidRPr="00C12624">
        <w:rPr>
          <w:rFonts w:eastAsia="Times New Roman"/>
          <w:sz w:val="22"/>
          <w:szCs w:val="22"/>
        </w:rPr>
        <w:t>).</w:t>
      </w:r>
    </w:p>
    <w:p w:rsidR="00AD112A" w:rsidRPr="00AD112A" w:rsidRDefault="00C12624" w:rsidP="00C12624">
      <w:pPr>
        <w:jc w:val="both"/>
      </w:pPr>
      <w:r w:rsidRPr="00C12624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C12624">
        <w:rPr>
          <w:rFonts w:eastAsia="Times New Roman"/>
          <w:sz w:val="22"/>
          <w:szCs w:val="22"/>
        </w:rPr>
        <w:t xml:space="preserve">, mediante versamento sul conto di tesoreria n. </w:t>
      </w:r>
      <w:r w:rsidR="008A1C16">
        <w:rPr>
          <w:rFonts w:eastAsia="Times New Roman"/>
          <w:sz w:val="22"/>
          <w:szCs w:val="22"/>
        </w:rPr>
        <w:t>522/34835</w:t>
      </w:r>
      <w:r w:rsidRPr="00C12624">
        <w:rPr>
          <w:rFonts w:eastAsia="Times New Roman"/>
          <w:sz w:val="22"/>
          <w:szCs w:val="22"/>
        </w:rPr>
        <w:t>.</w:t>
      </w:r>
    </w:p>
    <w:p w:rsidR="006E263B" w:rsidRPr="00AD112A" w:rsidRDefault="006E263B" w:rsidP="00341DE3">
      <w:pPr>
        <w:spacing w:before="120" w:after="120"/>
        <w:jc w:val="both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8B4A5B" w:rsidRPr="008B4A5B" w:rsidRDefault="008B4A5B" w:rsidP="008B4A5B">
      <w:pPr>
        <w:ind w:left="3540" w:firstLine="708"/>
        <w:jc w:val="center"/>
        <w:rPr>
          <w:rFonts w:eastAsia="Calibri"/>
          <w:i/>
          <w:iCs/>
        </w:rPr>
      </w:pPr>
      <w:r w:rsidRPr="008B4A5B">
        <w:rPr>
          <w:rFonts w:eastAsia="Calibri"/>
          <w:iCs/>
        </w:rPr>
        <w:t xml:space="preserve">Firmato: </w:t>
      </w:r>
      <w:r w:rsidRPr="008B4A5B">
        <w:rPr>
          <w:rFonts w:eastAsia="Calibri"/>
          <w:i/>
          <w:iCs/>
        </w:rPr>
        <w:t>Dott.ssa Maria Giovanna Zilli</w:t>
      </w:r>
    </w:p>
    <w:p w:rsidR="008B4A5B" w:rsidRPr="008B4A5B" w:rsidRDefault="008B4A5B" w:rsidP="008B4A5B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8B4A5B">
        <w:rPr>
          <w:rFonts w:eastAsia="Calibri"/>
          <w:sz w:val="16"/>
          <w:szCs w:val="16"/>
          <w:lang w:val="en-US"/>
        </w:rPr>
        <w:t>(</w:t>
      </w:r>
      <w:proofErr w:type="spellStart"/>
      <w:r w:rsidRPr="008B4A5B">
        <w:rPr>
          <w:rFonts w:eastAsia="Calibri"/>
          <w:sz w:val="16"/>
          <w:szCs w:val="16"/>
          <w:lang w:val="en-US"/>
        </w:rPr>
        <w:t>ex art</w:t>
      </w:r>
      <w:proofErr w:type="spellEnd"/>
      <w:r w:rsidRPr="008B4A5B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8B4A5B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E53" w:rsidRDefault="00BA1E53">
      <w:r>
        <w:separator/>
      </w:r>
    </w:p>
  </w:endnote>
  <w:endnote w:type="continuationSeparator" w:id="0">
    <w:p w:rsidR="00BA1E53" w:rsidRDefault="00BA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BA1E53" w:rsidP="005D6D6C">
    <w:pPr>
      <w:pStyle w:val="Pidipagina"/>
      <w:rPr>
        <w:rStyle w:val="Numeropagina"/>
      </w:rPr>
    </w:pPr>
  </w:p>
  <w:p w:rsidR="005D6D6C" w:rsidRDefault="00BA1E53" w:rsidP="005D6D6C">
    <w:pPr>
      <w:pStyle w:val="Pidipagina"/>
    </w:pPr>
  </w:p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E53" w:rsidRDefault="00BA1E53">
      <w:r>
        <w:separator/>
      </w:r>
    </w:p>
  </w:footnote>
  <w:footnote w:type="continuationSeparator" w:id="0">
    <w:p w:rsidR="00BA1E53" w:rsidRDefault="00BA1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BA1E53" w:rsidP="005D6D6C">
    <w:pPr>
      <w:pStyle w:val="Intestazione"/>
    </w:pPr>
  </w:p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  <w:p w:rsidR="005D6D6C" w:rsidRDefault="00BA1E53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C6C1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1DE3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E34E1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0361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A1C16"/>
    <w:rsid w:val="008B4A5B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463E7"/>
    <w:rsid w:val="00AA0998"/>
    <w:rsid w:val="00AA6D33"/>
    <w:rsid w:val="00AC4F99"/>
    <w:rsid w:val="00AD112A"/>
    <w:rsid w:val="00B01810"/>
    <w:rsid w:val="00B302EA"/>
    <w:rsid w:val="00B34239"/>
    <w:rsid w:val="00B369B5"/>
    <w:rsid w:val="00B37867"/>
    <w:rsid w:val="00B53A9D"/>
    <w:rsid w:val="00B70EFB"/>
    <w:rsid w:val="00B718E2"/>
    <w:rsid w:val="00B744AE"/>
    <w:rsid w:val="00B77912"/>
    <w:rsid w:val="00BA1E53"/>
    <w:rsid w:val="00BA368B"/>
    <w:rsid w:val="00BB22EB"/>
    <w:rsid w:val="00BB22FE"/>
    <w:rsid w:val="00BC3A6B"/>
    <w:rsid w:val="00BE7749"/>
    <w:rsid w:val="00C038FF"/>
    <w:rsid w:val="00C10102"/>
    <w:rsid w:val="00C12624"/>
    <w:rsid w:val="00C128DB"/>
    <w:rsid w:val="00C32E09"/>
    <w:rsid w:val="00C33117"/>
    <w:rsid w:val="00C358D7"/>
    <w:rsid w:val="00C555C0"/>
    <w:rsid w:val="00C8737E"/>
    <w:rsid w:val="00C95ACB"/>
    <w:rsid w:val="00CB1D07"/>
    <w:rsid w:val="00CB71CC"/>
    <w:rsid w:val="00CD1073"/>
    <w:rsid w:val="00CE224B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1922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A3D2C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F6061-7CAA-49BE-B4B7-2E145B77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66</cp:revision>
  <cp:lastPrinted>2016-01-08T16:33:00Z</cp:lastPrinted>
  <dcterms:created xsi:type="dcterms:W3CDTF">2020-11-10T15:31:00Z</dcterms:created>
  <dcterms:modified xsi:type="dcterms:W3CDTF">2021-05-17T14:13:00Z</dcterms:modified>
</cp:coreProperties>
</file>